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FE" w:rsidRDefault="00025CFE">
      <w:pPr>
        <w:pStyle w:val="Title"/>
        <w:tabs>
          <w:tab w:val="left" w:pos="5040"/>
        </w:tabs>
        <w:rPr>
          <w:sz w:val="28"/>
        </w:rPr>
      </w:pPr>
      <w:bookmarkStart w:id="0" w:name="_GoBack"/>
      <w:bookmarkEnd w:id="0"/>
    </w:p>
    <w:p w:rsidR="00025CFE" w:rsidRDefault="00025CFE">
      <w:pPr>
        <w:pStyle w:val="Title"/>
        <w:tabs>
          <w:tab w:val="left" w:pos="5040"/>
        </w:tabs>
        <w:rPr>
          <w:sz w:val="28"/>
        </w:rPr>
      </w:pPr>
      <w:r>
        <w:rPr>
          <w:sz w:val="28"/>
        </w:rPr>
        <w:t>Prompt Payments by Public Sector Bodies</w:t>
      </w:r>
    </w:p>
    <w:p w:rsidR="00025CFE" w:rsidRDefault="00025CFE">
      <w:pPr>
        <w:pStyle w:val="Title"/>
        <w:tabs>
          <w:tab w:val="left" w:pos="5040"/>
        </w:tabs>
        <w:jc w:val="left"/>
        <w:rPr>
          <w:sz w:val="28"/>
        </w:rPr>
      </w:pPr>
    </w:p>
    <w:p w:rsidR="00025CFE" w:rsidRDefault="00025CFE">
      <w:pPr>
        <w:pStyle w:val="BodyText2"/>
      </w:pPr>
      <w:r>
        <w:t>Reporting Template pursuant to Government Decision  S29296 of 2 and 8 March 2011 by;</w:t>
      </w:r>
    </w:p>
    <w:p w:rsidR="00025CFE" w:rsidRDefault="00025CFE">
      <w:pPr>
        <w:jc w:val="center"/>
        <w:rPr>
          <w:b/>
          <w:bCs/>
          <w:sz w:val="28"/>
          <w:u w:val="single"/>
        </w:rPr>
      </w:pPr>
    </w:p>
    <w:p w:rsidR="00025CFE" w:rsidRDefault="00025CFE">
      <w:pPr>
        <w:pStyle w:val="Title"/>
        <w:tabs>
          <w:tab w:val="left" w:pos="5040"/>
        </w:tabs>
        <w:jc w:val="left"/>
        <w:rPr>
          <w:sz w:val="28"/>
        </w:rPr>
      </w:pPr>
      <w:r>
        <w:rPr>
          <w:sz w:val="28"/>
        </w:rPr>
        <w:t xml:space="preserve">The Health Service Executive, the Local Authorities, State Agencies and all other Public Sector Bodies, (excluding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Commercial</w:t>
          </w:r>
        </w:smartTag>
        <w:r>
          <w:rPr>
            <w:sz w:val="28"/>
          </w:rPr>
          <w:t xml:space="preserve"> </w:t>
        </w:r>
        <w:smartTag w:uri="urn:schemas-microsoft-com:office:smarttags" w:element="PlaceName">
          <w:r>
            <w:rPr>
              <w:sz w:val="28"/>
            </w:rPr>
            <w:t>Semi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State</w:t>
          </w:r>
        </w:smartTag>
      </w:smartTag>
      <w:r>
        <w:rPr>
          <w:sz w:val="28"/>
        </w:rPr>
        <w:t xml:space="preserve"> bodies)</w:t>
      </w:r>
    </w:p>
    <w:p w:rsidR="00025CFE" w:rsidRDefault="00025CFE">
      <w:pPr>
        <w:jc w:val="center"/>
        <w:rPr>
          <w:b/>
          <w:bCs/>
          <w:sz w:val="28"/>
          <w:u w:val="single"/>
        </w:rPr>
      </w:pPr>
    </w:p>
    <w:p w:rsidR="00025CFE" w:rsidRDefault="00025CFE">
      <w:pPr>
        <w:rPr>
          <w:b/>
          <w:bCs/>
          <w:sz w:val="28"/>
        </w:rPr>
      </w:pPr>
      <w:r>
        <w:rPr>
          <w:b/>
          <w:bCs/>
          <w:sz w:val="28"/>
        </w:rPr>
        <w:t>Parent Government Department:</w:t>
      </w:r>
      <w:r w:rsidR="00642716">
        <w:rPr>
          <w:b/>
          <w:bCs/>
          <w:sz w:val="28"/>
        </w:rPr>
        <w:t xml:space="preserve"> Department of Agriculture, Food and the Marine</w:t>
      </w:r>
    </w:p>
    <w:p w:rsidR="00025CFE" w:rsidRDefault="00025CFE">
      <w:pPr>
        <w:rPr>
          <w:b/>
          <w:bCs/>
          <w:sz w:val="28"/>
        </w:rPr>
      </w:pPr>
    </w:p>
    <w:p w:rsidR="00025CFE" w:rsidRDefault="00025CFE">
      <w:pPr>
        <w:rPr>
          <w:b/>
          <w:bCs/>
          <w:sz w:val="28"/>
        </w:rPr>
      </w:pPr>
      <w:r>
        <w:rPr>
          <w:b/>
          <w:bCs/>
          <w:sz w:val="28"/>
          <w:szCs w:val="15"/>
        </w:rPr>
        <w:t>Public Sector Body:</w:t>
      </w:r>
      <w:r w:rsidR="00642716">
        <w:rPr>
          <w:b/>
          <w:bCs/>
          <w:sz w:val="28"/>
          <w:szCs w:val="15"/>
        </w:rPr>
        <w:t xml:space="preserve"> Aquaculture Licences Appeals Board (ALAB)</w:t>
      </w:r>
    </w:p>
    <w:p w:rsidR="00025CFE" w:rsidRDefault="00025CFE">
      <w:pPr>
        <w:pStyle w:val="Heading1"/>
        <w:rPr>
          <w:sz w:val="28"/>
        </w:rPr>
      </w:pPr>
    </w:p>
    <w:p w:rsidR="00025CFE" w:rsidRDefault="00025CFE">
      <w:pPr>
        <w:pStyle w:val="Heading1"/>
        <w:rPr>
          <w:sz w:val="28"/>
        </w:rPr>
      </w:pPr>
      <w:r>
        <w:rPr>
          <w:sz w:val="28"/>
        </w:rPr>
        <w:t xml:space="preserve">Quarterly Period Covered:  </w:t>
      </w:r>
      <w:r w:rsidR="00C31C45">
        <w:rPr>
          <w:sz w:val="28"/>
        </w:rPr>
        <w:t>1</w:t>
      </w:r>
      <w:r w:rsidR="00C31C45" w:rsidRPr="00C31C45">
        <w:rPr>
          <w:sz w:val="28"/>
          <w:vertAlign w:val="superscript"/>
        </w:rPr>
        <w:t>st</w:t>
      </w:r>
      <w:r w:rsidR="00C31C45">
        <w:rPr>
          <w:sz w:val="28"/>
        </w:rPr>
        <w:t xml:space="preserve"> Quarter 2012</w:t>
      </w:r>
    </w:p>
    <w:p w:rsidR="00025CFE" w:rsidRDefault="00025CFE"/>
    <w:p w:rsidR="00025CFE" w:rsidRDefault="00025CFE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659"/>
        <w:gridCol w:w="1980"/>
        <w:gridCol w:w="2340"/>
      </w:tblGrid>
      <w:tr w:rsidR="00025CF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25CFE" w:rsidRDefault="00025CFE">
            <w:pPr>
              <w:pStyle w:val="Heading1"/>
              <w:jc w:val="center"/>
            </w:pPr>
            <w:r>
              <w:t>Details</w:t>
            </w:r>
          </w:p>
        </w:tc>
        <w:tc>
          <w:tcPr>
            <w:tcW w:w="1659" w:type="dxa"/>
          </w:tcPr>
          <w:p w:rsidR="00025CFE" w:rsidRDefault="00025CFE">
            <w:pPr>
              <w:pStyle w:val="Heading3"/>
              <w:rPr>
                <w:u w:val="single"/>
              </w:rPr>
            </w:pPr>
            <w:r>
              <w:t>Number</w:t>
            </w:r>
          </w:p>
        </w:tc>
        <w:tc>
          <w:tcPr>
            <w:tcW w:w="1980" w:type="dxa"/>
          </w:tcPr>
          <w:p w:rsidR="00025CFE" w:rsidRDefault="00025CF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</w:tcPr>
          <w:p w:rsidR="00025CFE" w:rsidRDefault="00025CFE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Percentage (%) of total number of payments made</w:t>
            </w:r>
          </w:p>
        </w:tc>
      </w:tr>
      <w:tr w:rsidR="00025CF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25CFE" w:rsidRDefault="00025CFE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642716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5</w:t>
            </w:r>
          </w:p>
        </w:tc>
        <w:tc>
          <w:tcPr>
            <w:tcW w:w="1980" w:type="dxa"/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B968F1" w:rsidP="00B968F1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="00642716" w:rsidRPr="00B968F1">
              <w:rPr>
                <w:bCs/>
              </w:rPr>
              <w:t>5015.89</w:t>
            </w:r>
          </w:p>
        </w:tc>
        <w:tc>
          <w:tcPr>
            <w:tcW w:w="2340" w:type="dxa"/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642716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71%</w:t>
            </w:r>
          </w:p>
        </w:tc>
      </w:tr>
      <w:tr w:rsidR="00025CF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25CFE" w:rsidRDefault="00025CF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642716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2</w:t>
            </w:r>
          </w:p>
        </w:tc>
        <w:tc>
          <w:tcPr>
            <w:tcW w:w="1980" w:type="dxa"/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B968F1" w:rsidP="00B968F1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="00642716" w:rsidRPr="00B968F1">
              <w:rPr>
                <w:bCs/>
              </w:rPr>
              <w:t>2100.00</w:t>
            </w:r>
          </w:p>
        </w:tc>
        <w:tc>
          <w:tcPr>
            <w:tcW w:w="2340" w:type="dxa"/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642716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29%</w:t>
            </w:r>
          </w:p>
        </w:tc>
      </w:tr>
      <w:tr w:rsidR="00025CFE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single" w:sz="4" w:space="0" w:color="auto"/>
            </w:tcBorders>
          </w:tcPr>
          <w:p w:rsidR="00025CFE" w:rsidRDefault="00025CF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0D2638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NIL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0D2638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NIL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0D2638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N/A</w:t>
            </w:r>
          </w:p>
        </w:tc>
      </w:tr>
      <w:tr w:rsidR="00025CFE">
        <w:tblPrEx>
          <w:tblCellMar>
            <w:top w:w="0" w:type="dxa"/>
            <w:bottom w:w="0" w:type="dxa"/>
          </w:tblCellMar>
        </w:tblPrEx>
        <w:tc>
          <w:tcPr>
            <w:tcW w:w="2409" w:type="dxa"/>
            <w:shd w:val="clear" w:color="auto" w:fill="C0C0C0"/>
          </w:tcPr>
          <w:p w:rsidR="00025CFE" w:rsidRDefault="00025CFE">
            <w:pPr>
              <w:pStyle w:val="BodyText"/>
              <w:spacing w:line="240" w:lineRule="auto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642716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7</w:t>
            </w:r>
          </w:p>
        </w:tc>
        <w:tc>
          <w:tcPr>
            <w:tcW w:w="1980" w:type="dxa"/>
            <w:shd w:val="clear" w:color="auto" w:fill="C0C0C0"/>
          </w:tcPr>
          <w:p w:rsidR="000D2638" w:rsidRPr="00B968F1" w:rsidRDefault="000D2638" w:rsidP="00B968F1">
            <w:pPr>
              <w:jc w:val="center"/>
              <w:rPr>
                <w:bCs/>
              </w:rPr>
            </w:pPr>
          </w:p>
          <w:p w:rsidR="00025CFE" w:rsidRPr="00B968F1" w:rsidRDefault="00B968F1" w:rsidP="00B968F1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="00642716" w:rsidRPr="00B968F1">
              <w:rPr>
                <w:bCs/>
              </w:rPr>
              <w:t>7115.89</w:t>
            </w:r>
          </w:p>
        </w:tc>
        <w:tc>
          <w:tcPr>
            <w:tcW w:w="2340" w:type="dxa"/>
            <w:shd w:val="clear" w:color="auto" w:fill="C0C0C0"/>
          </w:tcPr>
          <w:p w:rsidR="00025CFE" w:rsidRPr="00B968F1" w:rsidRDefault="00025CFE" w:rsidP="00B968F1">
            <w:pPr>
              <w:jc w:val="center"/>
              <w:rPr>
                <w:bCs/>
              </w:rPr>
            </w:pPr>
          </w:p>
          <w:p w:rsidR="00025CFE" w:rsidRPr="00B968F1" w:rsidRDefault="00025CFE" w:rsidP="00B968F1">
            <w:pPr>
              <w:jc w:val="center"/>
              <w:rPr>
                <w:bCs/>
              </w:rPr>
            </w:pPr>
            <w:r w:rsidRPr="00B968F1">
              <w:rPr>
                <w:bCs/>
              </w:rPr>
              <w:t>(100%)</w:t>
            </w:r>
          </w:p>
        </w:tc>
      </w:tr>
      <w:tr w:rsidR="00025CF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D2638" w:rsidRDefault="000D2638">
            <w:pPr>
              <w:rPr>
                <w:b/>
                <w:bCs/>
                <w:lang w:val="en-IE"/>
              </w:rPr>
            </w:pPr>
          </w:p>
          <w:p w:rsidR="00025CFE" w:rsidRDefault="00025CFE">
            <w:pPr>
              <w:rPr>
                <w:b/>
                <w:bCs/>
                <w:u w:val="single"/>
              </w:rPr>
            </w:pPr>
            <w:r>
              <w:rPr>
                <w:rStyle w:val="FootnoteReference"/>
                <w:b/>
                <w:bCs/>
                <w:lang w:val="en-IE"/>
              </w:rPr>
              <w:footnoteReference w:id="1"/>
            </w:r>
            <w:r>
              <w:rPr>
                <w:b/>
                <w:bCs/>
                <w:lang w:val="en-IE"/>
              </w:rPr>
              <w:t xml:space="preserve">Disputed Invoices </w:t>
            </w:r>
          </w:p>
        </w:tc>
        <w:tc>
          <w:tcPr>
            <w:tcW w:w="1659" w:type="dxa"/>
          </w:tcPr>
          <w:p w:rsidR="00B968F1" w:rsidRDefault="00B968F1" w:rsidP="00B968F1">
            <w:pPr>
              <w:jc w:val="center"/>
            </w:pPr>
          </w:p>
          <w:p w:rsidR="00025CFE" w:rsidRPr="00B968F1" w:rsidRDefault="00B968F1" w:rsidP="00B968F1">
            <w:pPr>
              <w:jc w:val="center"/>
              <w:rPr>
                <w:bCs/>
              </w:rPr>
            </w:pPr>
            <w:r w:rsidRPr="00B968F1">
              <w:t>N/A</w:t>
            </w:r>
          </w:p>
        </w:tc>
        <w:tc>
          <w:tcPr>
            <w:tcW w:w="1980" w:type="dxa"/>
          </w:tcPr>
          <w:p w:rsidR="00B968F1" w:rsidRDefault="00B968F1" w:rsidP="00B968F1">
            <w:pPr>
              <w:jc w:val="center"/>
            </w:pPr>
          </w:p>
          <w:p w:rsidR="00025CFE" w:rsidRPr="00B968F1" w:rsidRDefault="00B968F1" w:rsidP="00B968F1">
            <w:pPr>
              <w:jc w:val="center"/>
              <w:rPr>
                <w:bCs/>
              </w:rPr>
            </w:pPr>
            <w:r w:rsidRPr="00B968F1">
              <w:t>N/A</w:t>
            </w:r>
          </w:p>
        </w:tc>
        <w:tc>
          <w:tcPr>
            <w:tcW w:w="2340" w:type="dxa"/>
          </w:tcPr>
          <w:p w:rsidR="000D2638" w:rsidRPr="00B968F1" w:rsidRDefault="000D2638" w:rsidP="00B968F1">
            <w:pPr>
              <w:pStyle w:val="Heading3"/>
              <w:rPr>
                <w:b w:val="0"/>
                <w:szCs w:val="24"/>
              </w:rPr>
            </w:pPr>
          </w:p>
          <w:p w:rsidR="00025CFE" w:rsidRPr="00B968F1" w:rsidRDefault="00025CFE" w:rsidP="00B968F1">
            <w:pPr>
              <w:pStyle w:val="Heading3"/>
              <w:rPr>
                <w:b w:val="0"/>
                <w:szCs w:val="24"/>
              </w:rPr>
            </w:pPr>
            <w:r w:rsidRPr="00B968F1">
              <w:rPr>
                <w:b w:val="0"/>
                <w:szCs w:val="24"/>
              </w:rPr>
              <w:t>N/A</w:t>
            </w:r>
          </w:p>
        </w:tc>
      </w:tr>
    </w:tbl>
    <w:p w:rsidR="00025CFE" w:rsidRDefault="00025CFE">
      <w:pPr>
        <w:rPr>
          <w:b/>
          <w:bCs/>
          <w:u w:val="single"/>
        </w:rPr>
      </w:pPr>
      <w:r>
        <w:rPr>
          <w:rStyle w:val="FootnoteReference"/>
        </w:rPr>
        <w:footnoteRef/>
      </w:r>
      <w:r>
        <w:t xml:space="preserve"> Invoices received during the quarter and still under dispute at the end of the quarter.</w:t>
      </w:r>
    </w:p>
    <w:p w:rsidR="00025CFE" w:rsidRDefault="00025CFE">
      <w:pPr>
        <w:pStyle w:val="Heading4"/>
      </w:pPr>
    </w:p>
    <w:sectPr w:rsidR="00025CFE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96" w:rsidRDefault="00F11296">
      <w:r>
        <w:separator/>
      </w:r>
    </w:p>
  </w:endnote>
  <w:endnote w:type="continuationSeparator" w:id="0">
    <w:p w:rsidR="00F11296" w:rsidRDefault="00F1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38" w:rsidRDefault="000D26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2638" w:rsidRDefault="000D26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38" w:rsidRDefault="000D26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BEB">
      <w:rPr>
        <w:rStyle w:val="PageNumber"/>
        <w:noProof/>
      </w:rPr>
      <w:t>1</w:t>
    </w:r>
    <w:r>
      <w:rPr>
        <w:rStyle w:val="PageNumber"/>
      </w:rPr>
      <w:fldChar w:fldCharType="end"/>
    </w:r>
  </w:p>
  <w:p w:rsidR="000D2638" w:rsidRDefault="000D2638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96" w:rsidRDefault="00F11296">
      <w:r>
        <w:separator/>
      </w:r>
    </w:p>
  </w:footnote>
  <w:footnote w:type="continuationSeparator" w:id="0">
    <w:p w:rsidR="00F11296" w:rsidRDefault="00F11296">
      <w:r>
        <w:continuationSeparator/>
      </w:r>
    </w:p>
  </w:footnote>
  <w:footnote w:id="1">
    <w:p w:rsidR="000D2638" w:rsidRDefault="000D263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16"/>
    <w:rsid w:val="00025CFE"/>
    <w:rsid w:val="000D2638"/>
    <w:rsid w:val="00200BEB"/>
    <w:rsid w:val="00486B65"/>
    <w:rsid w:val="00642716"/>
    <w:rsid w:val="00A776FE"/>
    <w:rsid w:val="00B968F1"/>
    <w:rsid w:val="00C31C45"/>
    <w:rsid w:val="00F1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3AD26F5-244E-40D5-89C0-DB3E2AFE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rsid w:val="0064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dc:description/>
  <cp:lastModifiedBy>Larkin, Vera</cp:lastModifiedBy>
  <cp:revision>2</cp:revision>
  <cp:lastPrinted>2012-04-11T13:07:00Z</cp:lastPrinted>
  <dcterms:created xsi:type="dcterms:W3CDTF">2015-07-09T10:05:00Z</dcterms:created>
  <dcterms:modified xsi:type="dcterms:W3CDTF">2015-07-09T10:05:00Z</dcterms:modified>
</cp:coreProperties>
</file>